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консалтинг</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консалтинг»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«Финансовый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«Финансовый консалтинг»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97.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(исследовательско-познавательная, совещательно- консультативная, совещательно-решающая, совещательно-проектная, совещательно- реализационная, воспитательно-образовательная, информационная). Типы консалтинговых организаций и виды услуг (классификация ФЕАКО). Характерные черты консалтинговой услуги.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898.3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консультирования. Условия вхождения в консалтинговый бизнес. Возникновение управленческого консультирования в России (доперестроечный, перестроечный и современный). Функциональные потребности современного бизнеса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консалтинг. Выявление потребности в консультировании и формирование спроса на финансовые консалтинговые услуги. Формирование предложения консалтинговых услуг в сфере финансов.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консультирования (теория, исследования, прогноз, план, организация, активизация, стимул, эксперимент, регулирование, контроль).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 Роль консультанта в решении поставленной задачи, планирование и мониторинг в процессе решения задачи, обучение и повышение квалификации персонала фирмы заказчика, тактические приемы руководства для внесения изменений в методы работы, система поддержки и контроля в новых условиях. Завершение работы над проектом. Выбор оптимального времени для прекращения работы консультанта в фирме, оценка проведенной работы, будущее сотрудничество по данной проблеме, окончательный отчет.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w:t>
            </w:r>
          </w:p>
          <w:p>
            <w:pPr>
              <w:jc w:val="both"/>
              <w:spacing w:after="0" w:line="240" w:lineRule="auto"/>
              <w:rPr>
                <w:sz w:val="24"/>
                <w:szCs w:val="24"/>
              </w:rPr>
            </w:pPr>
            <w:r>
              <w:rPr>
                <w:rFonts w:ascii="Times New Roman" w:hAnsi="Times New Roman" w:cs="Times New Roman"/>
                <w:color w:val="#000000"/>
                <w:sz w:val="24"/>
                <w:szCs w:val="24"/>
              </w:rPr>
              <w:t> 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 Исследование модели взаимосвязи финансовых коэффициентов: использование модели для сравнительного анализа уровней и динамики финансовых коэффициентов. Моделирование тенденций изменения устойчивости финансового состояния. Имитационная модель финансового состояния. Методы аналитического обоснования стратегических целей развития коммерческой организации. Формирование системы ключевых финансовых показателей, отражающих стратегию развития коммерческой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106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бюджетирования. Консультации по составлению отчѐтности по МСФО. Внедрение 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Основное понятие и виды управленческого консалтинга. Задачи (направления) управленческого консалтинга. Факторы, влияющие на разработку проекта по управленческому консультированию. Формы управленческого консультирования: экспертное и процессное консультирование. Теоретические аспекты налогового консультирования: понятие, сущность, виды. Основные принципы налогового консалтинга и его этапы.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содержание консалтинга</w:t>
            </w:r>
          </w:p>
          <w:p>
            <w:pPr>
              <w:jc w:val="left"/>
              <w:spacing w:after="0" w:line="240" w:lineRule="auto"/>
              <w:rPr>
                <w:sz w:val="24"/>
                <w:szCs w:val="24"/>
              </w:rPr>
            </w:pPr>
            <w:r>
              <w:rPr>
                <w:rFonts w:ascii="Times New Roman" w:hAnsi="Times New Roman" w:cs="Times New Roman"/>
                <w:color w:val="#000000"/>
                <w:sz w:val="24"/>
                <w:szCs w:val="24"/>
              </w:rPr>
              <w:t> 2.	Природа и цели консалтинга, консультант и клиент.</w:t>
            </w:r>
          </w:p>
          <w:p>
            <w:pPr>
              <w:jc w:val="left"/>
              <w:spacing w:after="0" w:line="240" w:lineRule="auto"/>
              <w:rPr>
                <w:sz w:val="24"/>
                <w:szCs w:val="24"/>
              </w:rPr>
            </w:pPr>
            <w:r>
              <w:rPr>
                <w:rFonts w:ascii="Times New Roman" w:hAnsi="Times New Roman" w:cs="Times New Roman"/>
                <w:color w:val="#000000"/>
                <w:sz w:val="24"/>
                <w:szCs w:val="24"/>
              </w:rPr>
              <w:t> 3.	Основные типы консалтинга Типы консалтинговых организаций и виды услуг (классификация ФЕАКО). Характерные черты консалтинговой услуги.</w:t>
            </w:r>
          </w:p>
          <w:p>
            <w:pPr>
              <w:jc w:val="left"/>
              <w:spacing w:after="0" w:line="240" w:lineRule="auto"/>
              <w:rPr>
                <w:sz w:val="24"/>
                <w:szCs w:val="24"/>
              </w:rPr>
            </w:pPr>
            <w:r>
              <w:rPr>
                <w:rFonts w:ascii="Times New Roman" w:hAnsi="Times New Roman" w:cs="Times New Roman"/>
                <w:color w:val="#000000"/>
                <w:sz w:val="24"/>
                <w:szCs w:val="24"/>
              </w:rPr>
              <w:t> 4.	Законодательные основы осуществления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5.	Состояние консалтинговых услуг в России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«Пионеры» управленческого консалтинга.</w:t>
            </w:r>
          </w:p>
          <w:p>
            <w:pPr>
              <w:jc w:val="left"/>
              <w:spacing w:after="0" w:line="240" w:lineRule="auto"/>
              <w:rPr>
                <w:sz w:val="24"/>
                <w:szCs w:val="24"/>
              </w:rPr>
            </w:pPr>
            <w:r>
              <w:rPr>
                <w:rFonts w:ascii="Times New Roman" w:hAnsi="Times New Roman" w:cs="Times New Roman"/>
                <w:color w:val="#000000"/>
                <w:sz w:val="24"/>
                <w:szCs w:val="24"/>
              </w:rPr>
              <w:t> 2. Первые консалтинговые компании в мире.</w:t>
            </w:r>
          </w:p>
          <w:p>
            <w:pPr>
              <w:jc w:val="left"/>
              <w:spacing w:after="0" w:line="240" w:lineRule="auto"/>
              <w:rPr>
                <w:sz w:val="24"/>
                <w:szCs w:val="24"/>
              </w:rPr>
            </w:pPr>
            <w:r>
              <w:rPr>
                <w:rFonts w:ascii="Times New Roman" w:hAnsi="Times New Roman" w:cs="Times New Roman"/>
                <w:color w:val="#000000"/>
                <w:sz w:val="24"/>
                <w:szCs w:val="24"/>
              </w:rPr>
              <w:t> 3. Функциональные потребности современного бизнеса и финансовый консалтинг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консультирования (теория, исследования, прогноз, план, организация, активизация, стимул, эксперимент, регулирование, контроль).</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 системность, коммуникация, независимость).</w:t>
            </w:r>
          </w:p>
          <w:p>
            <w:pPr>
              <w:jc w:val="left"/>
              <w:spacing w:after="0" w:line="240" w:lineRule="auto"/>
              <w:rPr>
                <w:sz w:val="24"/>
                <w:szCs w:val="24"/>
              </w:rPr>
            </w:pPr>
            <w:r>
              <w:rPr>
                <w:rFonts w:ascii="Times New Roman" w:hAnsi="Times New Roman" w:cs="Times New Roman"/>
                <w:color w:val="#000000"/>
                <w:sz w:val="24"/>
                <w:szCs w:val="24"/>
              </w:rPr>
              <w:t> 3.	Выбор консультационной фирмы для профессиональной поддержки бизнеса.</w:t>
            </w:r>
          </w:p>
          <w:p>
            <w:pPr>
              <w:jc w:val="left"/>
              <w:spacing w:after="0" w:line="240" w:lineRule="auto"/>
              <w:rPr>
                <w:sz w:val="24"/>
                <w:szCs w:val="24"/>
              </w:rPr>
            </w:pPr>
            <w:r>
              <w:rPr>
                <w:rFonts w:ascii="Times New Roman" w:hAnsi="Times New Roman" w:cs="Times New Roman"/>
                <w:color w:val="#000000"/>
                <w:sz w:val="24"/>
                <w:szCs w:val="24"/>
              </w:rPr>
              <w:t> 4.	Взаимодействие «Консультант – Клиент»</w:t>
            </w:r>
          </w:p>
          <w:p>
            <w:pPr>
              <w:jc w:val="left"/>
              <w:spacing w:after="0" w:line="240" w:lineRule="auto"/>
              <w:rPr>
                <w:sz w:val="24"/>
                <w:szCs w:val="24"/>
              </w:rPr>
            </w:pPr>
            <w:r>
              <w:rPr>
                <w:rFonts w:ascii="Times New Roman" w:hAnsi="Times New Roman" w:cs="Times New Roman"/>
                <w:color w:val="#000000"/>
                <w:sz w:val="24"/>
                <w:szCs w:val="24"/>
              </w:rPr>
              <w:t> 5.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 - накопительных продуктов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21.31518"/>
        </w:trPr>
        <w:tc>
          <w:tcPr>
            <w:tcW w:w="9640" w:type="dxa"/>
          </w:tcPr>
          <w:p/>
        </w:tc>
      </w:tr>
      <w:tr>
        <w:trPr>
          <w:trHeight w:hRule="exact" w:val="893.3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Кто является участниками процесса консалтинга?</w:t>
            </w:r>
          </w:p>
          <w:p>
            <w:pPr>
              <w:jc w:val="left"/>
              <w:spacing w:after="0" w:line="240" w:lineRule="auto"/>
              <w:rPr>
                <w:sz w:val="24"/>
                <w:szCs w:val="24"/>
              </w:rPr>
            </w:pPr>
            <w:r>
              <w:rPr>
                <w:rFonts w:ascii="Times New Roman" w:hAnsi="Times New Roman" w:cs="Times New Roman"/>
                <w:color w:val="#000000"/>
                <w:sz w:val="24"/>
                <w:szCs w:val="24"/>
              </w:rPr>
              <w:t> 2. Что такое процесс консалтинга?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 чем состоит различие между стадией, этапом и процедурой консультирования?</w:t>
            </w:r>
          </w:p>
          <w:p>
            <w:pPr>
              <w:jc w:val="left"/>
              <w:spacing w:after="0" w:line="240" w:lineRule="auto"/>
              <w:rPr>
                <w:sz w:val="24"/>
                <w:szCs w:val="24"/>
              </w:rPr>
            </w:pPr>
            <w:r>
              <w:rPr>
                <w:rFonts w:ascii="Times New Roman" w:hAnsi="Times New Roman" w:cs="Times New Roman"/>
                <w:color w:val="#000000"/>
                <w:sz w:val="24"/>
                <w:szCs w:val="24"/>
              </w:rPr>
              <w:t> 4. Кто является участником процесса консалтинга? Назовите участников процесса консалтинга.</w:t>
            </w:r>
          </w:p>
          <w:p>
            <w:pPr>
              <w:jc w:val="left"/>
              <w:spacing w:after="0" w:line="240" w:lineRule="auto"/>
              <w:rPr>
                <w:sz w:val="24"/>
                <w:szCs w:val="24"/>
              </w:rPr>
            </w:pPr>
            <w:r>
              <w:rPr>
                <w:rFonts w:ascii="Times New Roman" w:hAnsi="Times New Roman" w:cs="Times New Roman"/>
                <w:color w:val="#000000"/>
                <w:sz w:val="24"/>
                <w:szCs w:val="24"/>
              </w:rPr>
              <w:t> 5. Назовите этапы процесса консалтинга.</w:t>
            </w:r>
          </w:p>
          <w:p>
            <w:pPr>
              <w:jc w:val="left"/>
              <w:spacing w:after="0" w:line="240" w:lineRule="auto"/>
              <w:rPr>
                <w:sz w:val="24"/>
                <w:szCs w:val="24"/>
              </w:rPr>
            </w:pPr>
            <w:r>
              <w:rPr>
                <w:rFonts w:ascii="Times New Roman" w:hAnsi="Times New Roman" w:cs="Times New Roman"/>
                <w:color w:val="#000000"/>
                <w:sz w:val="24"/>
                <w:szCs w:val="24"/>
              </w:rPr>
              <w:t> 6. Чем характеризуется предварительная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7. Чем характеризуется предпроектная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8. Чем характеризуется проектная стадия процесса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данных и поставленных задач.</w:t>
            </w:r>
          </w:p>
          <w:p>
            <w:pPr>
              <w:jc w:val="left"/>
              <w:spacing w:after="0" w:line="240" w:lineRule="auto"/>
              <w:rPr>
                <w:sz w:val="24"/>
                <w:szCs w:val="24"/>
              </w:rPr>
            </w:pPr>
            <w:r>
              <w:rPr>
                <w:rFonts w:ascii="Times New Roman" w:hAnsi="Times New Roman" w:cs="Times New Roman"/>
                <w:color w:val="#000000"/>
                <w:sz w:val="24"/>
                <w:szCs w:val="24"/>
              </w:rPr>
              <w:t> 2.	Методы разработки предложений. Методы оценки и выбора альтернатив.</w:t>
            </w:r>
          </w:p>
          <w:p>
            <w:pPr>
              <w:jc w:val="left"/>
              <w:spacing w:after="0" w:line="240" w:lineRule="auto"/>
              <w:rPr>
                <w:sz w:val="24"/>
                <w:szCs w:val="24"/>
              </w:rPr>
            </w:pPr>
            <w:r>
              <w:rPr>
                <w:rFonts w:ascii="Times New Roman" w:hAnsi="Times New Roman" w:cs="Times New Roman"/>
                <w:color w:val="#000000"/>
                <w:sz w:val="24"/>
                <w:szCs w:val="24"/>
              </w:rPr>
              <w:t> 3.	Методы измерения и оценки результатов, полученных в итоге осуществления консалтинговых проектов.</w:t>
            </w:r>
          </w:p>
          <w:p>
            <w:pPr>
              <w:jc w:val="left"/>
              <w:spacing w:after="0" w:line="240" w:lineRule="auto"/>
              <w:rPr>
                <w:sz w:val="24"/>
                <w:szCs w:val="24"/>
              </w:rPr>
            </w:pPr>
            <w:r>
              <w:rPr>
                <w:rFonts w:ascii="Times New Roman" w:hAnsi="Times New Roman" w:cs="Times New Roman"/>
                <w:color w:val="#000000"/>
                <w:sz w:val="24"/>
                <w:szCs w:val="24"/>
              </w:rPr>
              <w:t> 4.	Методы работы консультантов во время осуществления консалтингового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аспекты финансового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	Сущность, цели, задачи, принципы финансового моделирования в финансовом консалтинге. Научная основа финансового моделирования.</w:t>
            </w:r>
          </w:p>
          <w:p>
            <w:pPr>
              <w:jc w:val="left"/>
              <w:spacing w:after="0" w:line="240" w:lineRule="auto"/>
              <w:rPr>
                <w:sz w:val="24"/>
                <w:szCs w:val="24"/>
              </w:rPr>
            </w:pPr>
            <w:r>
              <w:rPr>
                <w:rFonts w:ascii="Times New Roman" w:hAnsi="Times New Roman" w:cs="Times New Roman"/>
                <w:color w:val="#000000"/>
                <w:sz w:val="24"/>
                <w:szCs w:val="24"/>
              </w:rPr>
              <w:t> 3.	Типовые финансовые задачи, решаемые при помощи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4.	Моделирование взаимосвязи коэффициентов, отражающих финансовое состояние.</w:t>
            </w:r>
          </w:p>
          <w:p>
            <w:pPr>
              <w:jc w:val="left"/>
              <w:spacing w:after="0" w:line="240" w:lineRule="auto"/>
              <w:rPr>
                <w:sz w:val="24"/>
                <w:szCs w:val="24"/>
              </w:rPr>
            </w:pPr>
            <w:r>
              <w:rPr>
                <w:rFonts w:ascii="Times New Roman" w:hAnsi="Times New Roman" w:cs="Times New Roman"/>
                <w:color w:val="#000000"/>
                <w:sz w:val="24"/>
                <w:szCs w:val="24"/>
              </w:rPr>
              <w:t> 5.	Моделирование тенденций изменения устойчивости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6.	Имитационная модель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7.	Методы аналитического обоснования стратегических целей развития коммерческой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деловые услуги Аудит как деловая услуга</w:t>
            </w:r>
          </w:p>
          <w:p>
            <w:pPr>
              <w:jc w:val="left"/>
              <w:spacing w:after="0" w:line="240" w:lineRule="auto"/>
              <w:rPr>
                <w:sz w:val="24"/>
                <w:szCs w:val="24"/>
              </w:rPr>
            </w:pPr>
            <w:r>
              <w:rPr>
                <w:rFonts w:ascii="Times New Roman" w:hAnsi="Times New Roman" w:cs="Times New Roman"/>
                <w:color w:val="#000000"/>
                <w:sz w:val="24"/>
                <w:szCs w:val="24"/>
              </w:rPr>
              <w:t> 2.  Обязательный и инициативный аудит</w:t>
            </w:r>
          </w:p>
          <w:p>
            <w:pPr>
              <w:jc w:val="left"/>
              <w:spacing w:after="0" w:line="240" w:lineRule="auto"/>
              <w:rPr>
                <w:sz w:val="24"/>
                <w:szCs w:val="24"/>
              </w:rPr>
            </w:pPr>
            <w:r>
              <w:rPr>
                <w:rFonts w:ascii="Times New Roman" w:hAnsi="Times New Roman" w:cs="Times New Roman"/>
                <w:color w:val="#000000"/>
                <w:sz w:val="24"/>
                <w:szCs w:val="24"/>
              </w:rPr>
              <w:t> 3. Консалтинг как деловая услуга</w:t>
            </w:r>
          </w:p>
          <w:p>
            <w:pPr>
              <w:jc w:val="left"/>
              <w:spacing w:after="0" w:line="240" w:lineRule="auto"/>
              <w:rPr>
                <w:sz w:val="24"/>
                <w:szCs w:val="24"/>
              </w:rPr>
            </w:pPr>
            <w:r>
              <w:rPr>
                <w:rFonts w:ascii="Times New Roman" w:hAnsi="Times New Roman" w:cs="Times New Roman"/>
                <w:color w:val="#000000"/>
                <w:sz w:val="24"/>
                <w:szCs w:val="24"/>
              </w:rPr>
              <w:t> 4. Стратегический и оперативный консалтинг</w:t>
            </w:r>
          </w:p>
          <w:p>
            <w:pPr>
              <w:jc w:val="left"/>
              <w:spacing w:after="0" w:line="240" w:lineRule="auto"/>
              <w:rPr>
                <w:sz w:val="24"/>
                <w:szCs w:val="24"/>
              </w:rPr>
            </w:pPr>
            <w:r>
              <w:rPr>
                <w:rFonts w:ascii="Times New Roman" w:hAnsi="Times New Roman" w:cs="Times New Roman"/>
                <w:color w:val="#000000"/>
                <w:sz w:val="24"/>
                <w:szCs w:val="24"/>
              </w:rPr>
              <w:t> 5. Ценообразование на услуги аудита и консалтинга</w:t>
            </w:r>
          </w:p>
          <w:p>
            <w:pPr>
              <w:jc w:val="left"/>
              <w:spacing w:after="0" w:line="240" w:lineRule="auto"/>
              <w:rPr>
                <w:sz w:val="24"/>
                <w:szCs w:val="24"/>
              </w:rPr>
            </w:pPr>
            <w:r>
              <w:rPr>
                <w:rFonts w:ascii="Times New Roman" w:hAnsi="Times New Roman" w:cs="Times New Roman"/>
                <w:color w:val="#000000"/>
                <w:sz w:val="24"/>
                <w:szCs w:val="24"/>
              </w:rPr>
              <w:t> 6.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7 Стандарты финансового учета и отчетности, подбирать инвестиционные продукты, технологии кредитования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финансового анализа как базы принятия управленческих решений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2.Современное информационно-методическое обеспечение финансового анализа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3.Влияние отраслевых и индивидуальных особенностей субъекта хозяйствования на организацию финансового анализа.</w:t>
            </w:r>
          </w:p>
          <w:p>
            <w:pPr>
              <w:jc w:val="left"/>
              <w:spacing w:after="0" w:line="240" w:lineRule="auto"/>
              <w:rPr>
                <w:sz w:val="24"/>
                <w:szCs w:val="24"/>
              </w:rPr>
            </w:pPr>
            <w:r>
              <w:rPr>
                <w:rFonts w:ascii="Times New Roman" w:hAnsi="Times New Roman" w:cs="Times New Roman"/>
                <w:color w:val="#000000"/>
                <w:sz w:val="24"/>
                <w:szCs w:val="24"/>
              </w:rPr>
              <w:t> 4.Различия в проведении финансового анализа внешними и внутренними пользователями.</w:t>
            </w:r>
          </w:p>
          <w:p>
            <w:pPr>
              <w:jc w:val="left"/>
              <w:spacing w:after="0" w:line="240" w:lineRule="auto"/>
              <w:rPr>
                <w:sz w:val="24"/>
                <w:szCs w:val="24"/>
              </w:rPr>
            </w:pPr>
            <w:r>
              <w:rPr>
                <w:rFonts w:ascii="Times New Roman" w:hAnsi="Times New Roman" w:cs="Times New Roman"/>
                <w:color w:val="#000000"/>
                <w:sz w:val="24"/>
                <w:szCs w:val="24"/>
              </w:rPr>
              <w:t> 5.Возможности использования результатов анализа для мониторинга, рейтинговой оценки, оценки кредитоспособности и прогнозирования деятельности хозяйствующего субъекта.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21.31518"/>
        </w:trPr>
        <w:tc>
          <w:tcPr>
            <w:tcW w:w="9640" w:type="dxa"/>
          </w:tcPr>
          <w:p/>
        </w:tc>
      </w:tr>
      <w:tr>
        <w:trPr>
          <w:trHeight w:hRule="exact" w:val="1280.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перспективы и проблемы в развитии налогового консультирования в России с учетом последних изменений в налоговом законодательстве?</w:t>
            </w:r>
          </w:p>
          <w:p>
            <w:pPr>
              <w:jc w:val="left"/>
              <w:spacing w:after="0" w:line="240" w:lineRule="auto"/>
              <w:rPr>
                <w:sz w:val="24"/>
                <w:szCs w:val="24"/>
              </w:rPr>
            </w:pPr>
            <w:r>
              <w:rPr>
                <w:rFonts w:ascii="Times New Roman" w:hAnsi="Times New Roman" w:cs="Times New Roman"/>
                <w:color w:val="#000000"/>
                <w:sz w:val="24"/>
                <w:szCs w:val="24"/>
              </w:rPr>
              <w:t> 2. Какие навыки и знания налоговому консультанту нужно точно иметь у себя в арсенале для успешной работы в условиях современного налогового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Современные технологии взаимодействия с налогоплательщиками. Ключевые тенденции развития налогового администрирования</w:t>
            </w:r>
          </w:p>
          <w:p>
            <w:pPr>
              <w:jc w:val="left"/>
              <w:spacing w:after="0" w:line="240" w:lineRule="auto"/>
              <w:rPr>
                <w:sz w:val="24"/>
                <w:szCs w:val="24"/>
              </w:rPr>
            </w:pPr>
            <w:r>
              <w:rPr>
                <w:rFonts w:ascii="Times New Roman" w:hAnsi="Times New Roman" w:cs="Times New Roman"/>
                <w:color w:val="#000000"/>
                <w:sz w:val="24"/>
                <w:szCs w:val="24"/>
              </w:rPr>
              <w:t> - развитие электронных сервисов и технологичность налогового контроля;</w:t>
            </w:r>
          </w:p>
          <w:p>
            <w:pPr>
              <w:jc w:val="left"/>
              <w:spacing w:after="0" w:line="240" w:lineRule="auto"/>
              <w:rPr>
                <w:sz w:val="24"/>
                <w:szCs w:val="24"/>
              </w:rPr>
            </w:pPr>
            <w:r>
              <w:rPr>
                <w:rFonts w:ascii="Times New Roman" w:hAnsi="Times New Roman" w:cs="Times New Roman"/>
                <w:color w:val="#000000"/>
                <w:sz w:val="24"/>
                <w:szCs w:val="24"/>
              </w:rPr>
              <w:t> - болевые точки взаимодействия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 перспективы развития налогового мониторинга;</w:t>
            </w:r>
          </w:p>
          <w:p>
            <w:pPr>
              <w:jc w:val="left"/>
              <w:spacing w:after="0" w:line="240" w:lineRule="auto"/>
              <w:rPr>
                <w:sz w:val="24"/>
                <w:szCs w:val="24"/>
              </w:rPr>
            </w:pPr>
            <w:r>
              <w:rPr>
                <w:rFonts w:ascii="Times New Roman" w:hAnsi="Times New Roman" w:cs="Times New Roman"/>
                <w:color w:val="#000000"/>
                <w:sz w:val="24"/>
                <w:szCs w:val="24"/>
              </w:rPr>
              <w:t> - эффективность досудебного урегулирования налоговых споров;</w:t>
            </w:r>
          </w:p>
          <w:p>
            <w:pPr>
              <w:jc w:val="left"/>
              <w:spacing w:after="0" w:line="240" w:lineRule="auto"/>
              <w:rPr>
                <w:sz w:val="24"/>
                <w:szCs w:val="24"/>
              </w:rPr>
            </w:pPr>
            <w:r>
              <w:rPr>
                <w:rFonts w:ascii="Times New Roman" w:hAnsi="Times New Roman" w:cs="Times New Roman"/>
                <w:color w:val="#000000"/>
                <w:sz w:val="24"/>
                <w:szCs w:val="24"/>
              </w:rPr>
              <w:t> - роль налогового консалтинга в конструктивном взаимодействии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4. Взаимодействие с налоговыми органами. Проблемы и перспективы развития. Налоговый консалтинг как основной элемент системы защиты интересов налогоплательщика</w:t>
            </w:r>
          </w:p>
          <w:p>
            <w:pPr>
              <w:jc w:val="left"/>
              <w:spacing w:after="0" w:line="240" w:lineRule="auto"/>
              <w:rPr>
                <w:sz w:val="24"/>
                <w:szCs w:val="24"/>
              </w:rPr>
            </w:pPr>
            <w:r>
              <w:rPr>
                <w:rFonts w:ascii="Times New Roman" w:hAnsi="Times New Roman" w:cs="Times New Roman"/>
                <w:color w:val="#000000"/>
                <w:sz w:val="24"/>
                <w:szCs w:val="24"/>
              </w:rPr>
              <w:t> - основные проблемы налогоплательщиков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потребность в профессиональном посредничестве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проблема обеспеченности налогоплательщиков профессиональной поддержкой на всех этапах их развития;</w:t>
            </w:r>
          </w:p>
          <w:p>
            <w:pPr>
              <w:jc w:val="left"/>
              <w:spacing w:after="0" w:line="240" w:lineRule="auto"/>
              <w:rPr>
                <w:sz w:val="24"/>
                <w:szCs w:val="24"/>
              </w:rPr>
            </w:pPr>
            <w:r>
              <w:rPr>
                <w:rFonts w:ascii="Times New Roman" w:hAnsi="Times New Roman" w:cs="Times New Roman"/>
                <w:color w:val="#000000"/>
                <w:sz w:val="24"/>
                <w:szCs w:val="24"/>
              </w:rPr>
              <w:t> - необходимость развития института налогового консультирования;</w:t>
            </w:r>
          </w:p>
          <w:p>
            <w:pPr>
              <w:jc w:val="left"/>
              <w:spacing w:after="0" w:line="240" w:lineRule="auto"/>
              <w:rPr>
                <w:sz w:val="24"/>
                <w:szCs w:val="24"/>
              </w:rPr>
            </w:pPr>
            <w:r>
              <w:rPr>
                <w:rFonts w:ascii="Times New Roman" w:hAnsi="Times New Roman" w:cs="Times New Roman"/>
                <w:color w:val="#000000"/>
                <w:sz w:val="24"/>
                <w:szCs w:val="24"/>
              </w:rPr>
              <w:t> - конструктивность взаимодействия налогоплательщиков с налоговыми органами посредством профессиональных консультантов;</w:t>
            </w:r>
          </w:p>
          <w:p>
            <w:pPr>
              <w:jc w:val="left"/>
              <w:spacing w:after="0" w:line="240" w:lineRule="auto"/>
              <w:rPr>
                <w:sz w:val="24"/>
                <w:szCs w:val="24"/>
              </w:rPr>
            </w:pPr>
            <w:r>
              <w:rPr>
                <w:rFonts w:ascii="Times New Roman" w:hAnsi="Times New Roman" w:cs="Times New Roman"/>
                <w:color w:val="#000000"/>
                <w:sz w:val="24"/>
                <w:szCs w:val="24"/>
              </w:rPr>
              <w:t> - эффективность профессионального объединения налоговых консультантов.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консалтинг»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Консолидированный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2023-2024_ФГОС3++2023_Бак-ОЗФО-Э(ФКиА)(23)_plx_Финансовый консалтинг</dc:title>
  <dc:creator>FastReport.NET</dc:creator>
</cp:coreProperties>
</file>